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4D" w:rsidRPr="00B9614D" w:rsidRDefault="00B9614D" w:rsidP="00B9614D">
      <w:pPr>
        <w:pBdr>
          <w:bottom w:val="single" w:sz="6" w:space="0" w:color="CCCCCC"/>
        </w:pBdr>
        <w:spacing w:beforeAutospacing="1" w:after="0" w:afterAutospacing="1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B9614D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fldChar w:fldCharType="begin"/>
      </w:r>
      <w:r w:rsidRPr="00B9614D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instrText xml:space="preserve"> HYPERLINK "http://www.medical911.ru/%d0%bf%d1%83%d1%82%d0%b8-%d0%b2%d0%b2%d0%b5%d0%b4%d0%b5%d0%bd%d0%b8%d1%8f-%d0%bb%d0%b5%d0%ba%d0%b0%d1%80%d1%81%d1%82%d0%b2%d0%b5%d0%bd%d0%bd%d1%8b%d1%85-%d1%81%d1%80%d0%b5%d0%b4%d1%81%d1%82%d0%b2/" </w:instrText>
      </w:r>
      <w:r w:rsidRPr="00B9614D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fldChar w:fldCharType="separate"/>
      </w:r>
      <w:r w:rsidRPr="00B9614D">
        <w:rPr>
          <w:rFonts w:ascii="Times New Roman" w:eastAsia="Times New Roman" w:hAnsi="Times New Roman" w:cs="Times New Roman"/>
          <w:color w:val="21759B"/>
          <w:kern w:val="36"/>
          <w:sz w:val="38"/>
          <w:szCs w:val="38"/>
          <w:bdr w:val="none" w:sz="0" w:space="0" w:color="auto" w:frame="1"/>
          <w:lang w:eastAsia="ru-RU"/>
        </w:rPr>
        <w:t>Пути введения лекарственных средств в организм</w:t>
      </w:r>
      <w:r w:rsidRPr="00B9614D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fldChar w:fldCharType="end"/>
      </w:r>
    </w:p>
    <w:p w:rsidR="00B9614D" w:rsidRPr="00B9614D" w:rsidRDefault="00B9614D" w:rsidP="00B96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hyperlink r:id="rId5" w:tooltip="Записи medical" w:history="1">
        <w:proofErr w:type="spellStart"/>
        <w:r w:rsidRPr="00B9614D">
          <w:rPr>
            <w:rFonts w:ascii="Times New Roman" w:eastAsia="Times New Roman" w:hAnsi="Times New Roman" w:cs="Times New Roman"/>
            <w:color w:val="444444"/>
            <w:sz w:val="21"/>
            <w:szCs w:val="21"/>
            <w:bdr w:val="none" w:sz="0" w:space="0" w:color="auto" w:frame="1"/>
            <w:lang w:eastAsia="ru-RU"/>
          </w:rPr>
          <w:t>medical</w:t>
        </w:r>
        <w:proofErr w:type="spellEnd"/>
      </w:hyperlink>
      <w:r w:rsidRPr="00B9614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Июнь 22, 2013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 Лекарственные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вещества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вводят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организм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человека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различнымипутями. Практическому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врачу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дается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полное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право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вводить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организмлекарство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любым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известным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путем.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Выбор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способа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введения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диктуется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тремя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следующими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обстоятельствами:</w:t>
      </w:r>
    </w:p>
    <w:p w:rsidR="00B9614D" w:rsidRPr="00B9614D" w:rsidRDefault="00B9614D" w:rsidP="00B9614D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Состоянием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больного :</w:t>
      </w:r>
      <w:proofErr w:type="gram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острота болезни (в случаях, угрожающих жизни больного, вводятся быстродействующие вещества).</w:t>
      </w:r>
    </w:p>
    <w:p w:rsidR="00B9614D" w:rsidRPr="00B9614D" w:rsidRDefault="00B9614D" w:rsidP="00B9614D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Свойствами лекарств (растворимость, скорость развития эффекта, продолжительность действия лекарств)</w:t>
      </w:r>
    </w:p>
    <w:p w:rsidR="00B9614D" w:rsidRPr="00B9614D" w:rsidRDefault="00B9614D" w:rsidP="00B9614D">
      <w:pPr>
        <w:numPr>
          <w:ilvl w:val="0"/>
          <w:numId w:val="1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Интуицией, профессиональной подготовкой врача.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jc w:val="center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Традиционно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выделяют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энтеральный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и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парентеральный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пути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введенияЛС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организм.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proofErr w:type="spellStart"/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Энтеральные</w:t>
      </w:r>
      <w:proofErr w:type="spellEnd"/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пути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введения (через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ЖКТ</w:t>
      </w:r>
      <w:proofErr w:type="gramStart"/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) :</w:t>
      </w:r>
      <w:proofErr w:type="gramEnd"/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пероральный (через рот);</w:t>
      </w: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сублингвальный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(под язык);</w:t>
      </w: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буккальный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(«приклеивание» к слизистой щеки, десны);</w:t>
      </w: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дуоденальный (в двенадцатиперстную кишку);</w:t>
      </w: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ректальный (в прямую кишку).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Парентеральные пути введения (т. е. минуя ЖКТ</w:t>
      </w:r>
      <w:proofErr w:type="gramStart"/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) :</w:t>
      </w:r>
      <w:proofErr w:type="gramEnd"/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подкожный;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внутрикожный;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внутримышечный;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внутривенный;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внутриартериальный;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внутрикостный;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субарахноидальный;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трансдермальный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;</w:t>
      </w:r>
    </w:p>
    <w:p w:rsidR="00B9614D" w:rsidRPr="00B9614D" w:rsidRDefault="00B9614D" w:rsidP="00B9614D">
      <w:pPr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ингаляционный.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proofErr w:type="spellStart"/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Энтеральные</w:t>
      </w:r>
      <w:proofErr w:type="spellEnd"/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пути введения лекарственных средств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Пероральный (лат. </w:t>
      </w:r>
      <w:proofErr w:type="spellStart"/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peros</w:t>
      </w:r>
      <w:proofErr w:type="spellEnd"/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)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— самый распространенный способ введения. Около 60% всех ЛС назначается перорально. Для перорального введения используются различные лекарственные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формы :</w:t>
      </w:r>
      <w:proofErr w:type="gram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таблетки, порошки, капсулы, растворы и др. При приеме через рот лекарственный препарат проходит следующие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этапы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Ротовая полость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пищевод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 желудок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тонкая кишка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толстая кишка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прямая кишка.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Всасывание ряда веществ происходит частично из желудка (слабые электролиты, имеющие кислый характер — аспирин, барбитураты и др.). Но подавляющее большинство лекарств всасывается, главным образом, в тонкой кишке (этому способствует интенсивное кровоснабжение и большая всасывательная поверхность — ≈ 120 м</w:t>
      </w:r>
      <w:r w:rsidRPr="00B9614D">
        <w:rPr>
          <w:rFonts w:ascii="Trebuchet MS" w:eastAsia="Times New Roman" w:hAnsi="Trebuchet MS" w:cs="Times New Roman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). Всасывание ЛС при пероральном приеме начинается через 15–30 мин.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После всасывания в кишечнике препарат проходит следующие </w:t>
      </w:r>
      <w:proofErr w:type="gramStart"/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этапы :</w:t>
      </w:r>
      <w:proofErr w:type="gramEnd"/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Тонкая кишка 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всасывание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воротная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вена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печень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(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частично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разрушается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) 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нижняя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полая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вена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большой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круг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кровообращения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органы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и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ткани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(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лечебное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действие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Преимущества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простота и удобство;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естественность;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относительная безопасность;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             не требуется стерильности, рук медперсонала.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медленное наступление эффекта;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              низкая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биодоступность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индивидуальные различия в скорости и полноте всасывания;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влияние пищи и других веществ на всасывание;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              невозможность применения лекарств, плохо проникающих через слизистую желудочно-кишечного тракта (стрептомицин), разрушающихся в ЖКТ (инсулин,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прегнин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невозможность использования при рвоте и коме.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proofErr w:type="spell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Сублингвальный</w:t>
      </w:r>
      <w:proofErr w:type="spellEnd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 (лат. </w:t>
      </w:r>
      <w:proofErr w:type="spell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sublingua</w:t>
      </w:r>
      <w:proofErr w:type="spellEnd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).</w:t>
      </w:r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 С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лизистая оболочка полости рта имеет обильное кровоснабжение, и всасывающиеся через нее вещества быстро попадают в кровь. Эффект при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сублингвальном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приеме наступает к концу первой минуты. Путь лекарственных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веществ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Ротовая полость </w:t>
      </w:r>
      <w:r w:rsidRPr="00B9614D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система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верхней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полой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вены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правые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отделы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сердца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малый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круг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кровообращения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левое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сердце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аорта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органы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и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ткани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(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лечебный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0000FF"/>
          <w:sz w:val="21"/>
          <w:szCs w:val="21"/>
          <w:bdr w:val="none" w:sz="0" w:space="0" w:color="auto" w:frame="1"/>
          <w:lang w:eastAsia="ru-RU"/>
        </w:rPr>
        <w:t>эффект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).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Данным способом вводят некоторые сосудорасширяющие средства быстрого действия (нитроглицерин, валидол), стероидные гормоны и их производные (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метилтестостерон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прегнин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), гонадотропин и другие средства, которые плохо всасываются или инактивируются в ЖКТ.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Преимущества </w:t>
      </w:r>
      <w:proofErr w:type="spell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сублингвального</w:t>
      </w:r>
      <w:proofErr w:type="spellEnd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 пути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введения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лекарственные средства не подвергаются действию желудочного сока;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не проходят через печень.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¾  Недостаток</w:t>
      </w:r>
      <w:proofErr w:type="gram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: невозможность применения лекарств с неприятным вкусом и с раздражающим слизистую оболочку рта действием.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Буккально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применяются полимерные пленки (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тринитролонг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), которые «приклеивают» к слизистой щеки или десны. Под влиянием слюны происходит расплавление пленок, высвобождение фармакологически активного вещества (нитроглицерина в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тринитролонге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 и создание в системном кровотоке терапевтической концентрации в течение определенного времени.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Дуоденальный путь</w:t>
      </w: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введения. Зонд вводят через пищевод в 12-перстную кишку и через него вводят жидкость (например, сульфат магния в качестве желчегонного). Это дает возможность быстро создать в кишечнике высокую концентрацию лекарственного вещества. Преимущество — лекарство не подвергается действию желудочного сока. Но данный путь введения технически сложен и применяется редко.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Ректально (лат. </w:t>
      </w:r>
      <w:proofErr w:type="spellStart"/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perrectum</w:t>
      </w:r>
      <w:proofErr w:type="spellEnd"/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)</w:t>
      </w: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лекарственные вещества назначают в виде свечей, растворов в клизмах (V — не более 50–100 мл + раствор должен быть подогрет до 37–38</w:t>
      </w:r>
      <w:r w:rsidRPr="00B9614D">
        <w:rPr>
          <w:rFonts w:ascii="Trebuchet MS" w:eastAsia="Times New Roman" w:hAnsi="Trebuchet MS" w:cs="Times New Roman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t>º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С, так как в 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противном случае может возникнуть рефлекс на опорожнение). Лечебный эффект при данном пути введения развивается через 5–15 мин. Путь лекарственного вещества: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Прямая кишка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нижние и средние геморроидальные вены (около 50% лекарственного вещества)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r w:rsidRPr="00B9614D">
        <w:rPr>
          <w:rFonts w:ascii="Trebuchet MS" w:eastAsia="Times New Roman" w:hAnsi="Trebuchet MS" w:cs="Trebuchet MS"/>
          <w:color w:val="444444"/>
          <w:sz w:val="21"/>
          <w:szCs w:val="21"/>
          <w:lang w:eastAsia="ru-RU"/>
        </w:rPr>
        <w:t>н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ижняя полая вена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большой круг кровообращения</w:t>
      </w:r>
      <w:r w:rsidRPr="00B961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→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органы и ткани (лечебный эффект).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Часть лекарственного вещества всасывается через верхнюю геморроидальную вену и по воротной вене попадает в печень, где частично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метаболизируется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Преимущества ректального пути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введения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лекарственное вещество не подвергается воздействию соков пищеварительного тракта;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не раздражает слизистую желудка;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лекарственное вещество минует печень (около 50%);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можно использовать при рвоте, в бессознательном состоянии.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              неудобство,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негигиеничность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;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¾·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индивидуальные различия в скорости и полноте всасывания.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Парентеральные пути введения лекарственных средств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 ним относятся все способы, при осуществлении которых лекарства попадают в кровь, минуя ЖКТ.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Подкожный путь введения ЛС обеспечивает хорошую биологическую фильтрацию их через мембраны клеток и капиллярной стенки. Поэтому этим путем можно вводить водные, масляные растворы. Лекарственное вещество при подкожном введении проходит следующий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путь :</w:t>
      </w:r>
      <w:proofErr w:type="gramEnd"/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Подкожно-жировая клетчатка (лекарственные вещества быстрее всасываются из подкожной клетчатки передней стенки живота и плеча) ® кровь (лимфа) ® полая вена ® правые отделы сердца ® малый круг кровообращения ® левые отделы сердца ® аорта ® органы и ткани (лечебный эффект).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Преимущества подкожного пути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введения :</w:t>
      </w:r>
      <w:proofErr w:type="gramEnd"/>
    </w:p>
    <w:p w:rsidR="00B9614D" w:rsidRPr="00B9614D" w:rsidRDefault="00B9614D" w:rsidP="00B9614D">
      <w:pPr>
        <w:numPr>
          <w:ilvl w:val="0"/>
          <w:numId w:val="4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 более высокая скорость поступления лекарств в системный кровоток по сравнению с пероральным (10–15 мин.);</w:t>
      </w:r>
    </w:p>
    <w:p w:rsidR="00B9614D" w:rsidRPr="00B9614D" w:rsidRDefault="00B9614D" w:rsidP="00B9614D">
      <w:pPr>
        <w:numPr>
          <w:ilvl w:val="0"/>
          <w:numId w:val="5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можно использовать ЛС белковой и пептидной природы;</w:t>
      </w:r>
    </w:p>
    <w:p w:rsidR="00B9614D" w:rsidRPr="00B9614D" w:rsidRDefault="00B9614D" w:rsidP="00B9614D">
      <w:pPr>
        <w:numPr>
          <w:ilvl w:val="0"/>
          <w:numId w:val="6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возможно создание депо препарата, обеспечивающее длительное лечебное воздействие («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Эспераль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» — для лечения алкоголизма).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numPr>
          <w:ilvl w:val="0"/>
          <w:numId w:val="7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болезненность инъекции;</w:t>
      </w:r>
    </w:p>
    <w:p w:rsidR="00B9614D" w:rsidRPr="00B9614D" w:rsidRDefault="00B9614D" w:rsidP="00B9614D">
      <w:pPr>
        <w:numPr>
          <w:ilvl w:val="0"/>
          <w:numId w:val="8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необходимость стерильности;</w:t>
      </w:r>
    </w:p>
    <w:p w:rsidR="00B9614D" w:rsidRPr="00B9614D" w:rsidRDefault="00B9614D" w:rsidP="00B9614D">
      <w:pPr>
        <w:numPr>
          <w:ilvl w:val="0"/>
          <w:numId w:val="9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возможность внесения инфекции;</w:t>
      </w:r>
    </w:p>
    <w:p w:rsidR="00B9614D" w:rsidRPr="00B9614D" w:rsidRDefault="00B9614D" w:rsidP="00B9614D">
      <w:pPr>
        <w:numPr>
          <w:ilvl w:val="0"/>
          <w:numId w:val="10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нельзя вводить вещества, обладающие раздражающим действием;</w:t>
      </w:r>
    </w:p>
    <w:p w:rsidR="00B9614D" w:rsidRPr="00B9614D" w:rsidRDefault="00B9614D" w:rsidP="00B9614D">
      <w:pPr>
        <w:numPr>
          <w:ilvl w:val="0"/>
          <w:numId w:val="11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невозможность использовать при шоковых состояниях, так как нарушено периферическое кровообращение.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Внутримышечное введение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один из самых частых способов парентерального введения лекарств. Используют депо-препараты, масляные растворы. Лечебный эффект наступает через 10–30 мин. Наиболее быстро резорбция идет из дельтовидной мышцы плеча, чаще же в практике инъекции делают в наружный верхний квадрант ягодичной мышцы (она более объемна, что важно при многократных инъекциях). Всасывание можно ускорить наложением грелки.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Преимущества внутримышечного пути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введения :</w:t>
      </w:r>
      <w:proofErr w:type="gramEnd"/>
    </w:p>
    <w:p w:rsidR="00B9614D" w:rsidRPr="00B9614D" w:rsidRDefault="00B9614D" w:rsidP="00B9614D">
      <w:pPr>
        <w:numPr>
          <w:ilvl w:val="0"/>
          <w:numId w:val="1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лекарство быстрее попадает в общий кровоток, так как мышцы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кровоснабжаются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лучше, чем подкожная клетчатка;</w:t>
      </w:r>
    </w:p>
    <w:p w:rsidR="00B9614D" w:rsidRPr="00B9614D" w:rsidRDefault="00B9614D" w:rsidP="00B9614D">
      <w:pPr>
        <w:numPr>
          <w:ilvl w:val="0"/>
          <w:numId w:val="1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инъекция менее болезненна;</w:t>
      </w:r>
    </w:p>
    <w:p w:rsidR="00B9614D" w:rsidRPr="00B9614D" w:rsidRDefault="00B9614D" w:rsidP="00B9614D">
      <w:pPr>
        <w:numPr>
          <w:ilvl w:val="0"/>
          <w:numId w:val="14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возможность применения ЛС с умеренным раздражающим действием.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метода :</w:t>
      </w:r>
      <w:proofErr w:type="gramEnd"/>
    </w:p>
    <w:p w:rsidR="00B9614D" w:rsidRPr="00B9614D" w:rsidRDefault="00B9614D" w:rsidP="00B9614D">
      <w:pPr>
        <w:numPr>
          <w:ilvl w:val="0"/>
          <w:numId w:val="15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большая опасность повреждения нервных стволов и крупных сосудов;</w:t>
      </w:r>
    </w:p>
    <w:p w:rsidR="00B9614D" w:rsidRPr="00B9614D" w:rsidRDefault="00B9614D" w:rsidP="00B9614D">
      <w:pPr>
        <w:numPr>
          <w:ilvl w:val="0"/>
          <w:numId w:val="16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необходимость стерильности.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Внутривенное введение препаратов производят струйным или капельным способом. В вену вводят только водные, иногда спиртовые растворы с концентрацией спирта не более 30%. Данный способ обеспечивает быстрое появление лечебного эффекта, позволяет сразу прекратить введение препарата при развитии нежелательных реакций и осуществить точное дозирование лекарственного препарата. Внутривенный путь введения незаменим в экстренных ситуациях, когда жизни пациента угрожает опасность. Из периферических вен для введения лекарств наиболее часто используют локтевую вену (солидный диаметр, расположена поверхностно).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lastRenderedPageBreak/>
        <w:t xml:space="preserve">Достоинства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numPr>
          <w:ilvl w:val="0"/>
          <w:numId w:val="17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непосредственное поступление лекарственного вещества в кровь;</w:t>
      </w:r>
    </w:p>
    <w:p w:rsidR="00B9614D" w:rsidRPr="00B9614D" w:rsidRDefault="00B9614D" w:rsidP="00B9614D">
      <w:pPr>
        <w:numPr>
          <w:ilvl w:val="0"/>
          <w:numId w:val="18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максимальная скорость наступления эффекта.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numPr>
          <w:ilvl w:val="0"/>
          <w:numId w:val="19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относительная сложность процедуры;</w:t>
      </w:r>
    </w:p>
    <w:p w:rsidR="00B9614D" w:rsidRPr="00B9614D" w:rsidRDefault="00B9614D" w:rsidP="00B9614D">
      <w:pPr>
        <w:numPr>
          <w:ilvl w:val="0"/>
          <w:numId w:val="20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необходимость стерильности;</w:t>
      </w:r>
    </w:p>
    <w:p w:rsidR="00B9614D" w:rsidRPr="00B9614D" w:rsidRDefault="00B9614D" w:rsidP="00B9614D">
      <w:pPr>
        <w:numPr>
          <w:ilvl w:val="0"/>
          <w:numId w:val="21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нельзя вводить масляные растворы, суспензии.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Внутриартериальное введение используется достаточно редко. Обычно этот способ используют для введения диагностических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рентгеноконтрастных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ЛС при ангиографии. Также этот способ введения применяют при необходимости достижения высоких концентраций препарата в каком-либо органе и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избежания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системного действия препарата. Для этой цели ЛС вводят непосредственно в артерию,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кровоснабжающую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данный орган (внутриартериальное введение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цитостатика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тиофосфамида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в артерию,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кровоснабжающую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щитовидную железу, при раке).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метода :</w:t>
      </w:r>
      <w:proofErr w:type="gramEnd"/>
    </w:p>
    <w:p w:rsidR="00B9614D" w:rsidRPr="00B9614D" w:rsidRDefault="00B9614D" w:rsidP="00B9614D">
      <w:pPr>
        <w:numPr>
          <w:ilvl w:val="0"/>
          <w:numId w:val="2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сложная техника;</w:t>
      </w:r>
    </w:p>
    <w:p w:rsidR="00B9614D" w:rsidRPr="00B9614D" w:rsidRDefault="00B9614D" w:rsidP="00B9614D">
      <w:pPr>
        <w:numPr>
          <w:ilvl w:val="0"/>
          <w:numId w:val="2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возможность развития тромбоза;</w:t>
      </w:r>
    </w:p>
    <w:p w:rsidR="00B9614D" w:rsidRPr="00B9614D" w:rsidRDefault="00B9614D" w:rsidP="00B9614D">
      <w:pPr>
        <w:numPr>
          <w:ilvl w:val="0"/>
          <w:numId w:val="24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некроз снабжаемой ткани (стенки артерий содержат значительные количества катехоламинов, которые при введении веществ с раздражающими свойствами могут освобождаться и вызвать стойкий спазм сосуда с некрозом ткани).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Внутрикостный путь введения (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 большеберцовую кость, в грудину, пяточную кость) используют при невозможности внутривенного или внутримышечного введения. По скорости распределения вещества в организме этот путь приближается к внутривенному. Используется этот путь довольно редко (при обширных ожогах, у детей), весьма болезненный.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Субарахноидальный путь</w:t>
      </w:r>
      <w:r w:rsidRPr="00B9614D">
        <w:rPr>
          <w:rFonts w:ascii="Trebuchet MS" w:eastAsia="Times New Roman" w:hAnsi="Trebuchet MS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используют для введения в спинномозговой канал (на уровне L</w:t>
      </w:r>
      <w:r w:rsidRPr="00B9614D">
        <w:rPr>
          <w:rFonts w:ascii="Trebuchet MS" w:eastAsia="Times New Roman" w:hAnsi="Trebuchet MS" w:cs="Times New Roman"/>
          <w:color w:val="444444"/>
          <w:sz w:val="17"/>
          <w:szCs w:val="17"/>
          <w:bdr w:val="none" w:sz="0" w:space="0" w:color="auto" w:frame="1"/>
          <w:vertAlign w:val="subscript"/>
          <w:lang w:eastAsia="ru-RU"/>
        </w:rPr>
        <w:t>III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–L</w:t>
      </w:r>
      <w:r w:rsidRPr="00B9614D">
        <w:rPr>
          <w:rFonts w:ascii="Trebuchet MS" w:eastAsia="Times New Roman" w:hAnsi="Trebuchet MS" w:cs="Times New Roman"/>
          <w:color w:val="444444"/>
          <w:sz w:val="17"/>
          <w:szCs w:val="17"/>
          <w:bdr w:val="none" w:sz="0" w:space="0" w:color="auto" w:frame="1"/>
          <w:vertAlign w:val="subscript"/>
          <w:lang w:eastAsia="ru-RU"/>
        </w:rPr>
        <w:t>IV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) местных анестетиков (спинномозговая анестезия), а также при химиотерапии менингита (вводят препараты, плохо проникающие через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гемато-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энцефалический</w:t>
      </w:r>
      <w:proofErr w:type="spellEnd"/>
      <w:proofErr w:type="gram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барьер (ГЭБ)). Процедура относительно сложна технически.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proofErr w:type="spellStart"/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Трансдермальный</w:t>
      </w:r>
      <w:proofErr w:type="spellEnd"/>
      <w:r w:rsidRPr="00B9614D">
        <w:rPr>
          <w:rFonts w:ascii="Trebuchet MS" w:eastAsia="Times New Roman" w:hAnsi="Trebuchet MS" w:cs="Times New Roman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 путь введения.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Кожа в целом ведет себя как более или менее (в железах) мощная липидная мембрана. Гидрофильные вещества (сахара, ионы) не всасываются кожей и действуют поверхностно (это относится к большинству антисептических веществ, антибиотиков).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Липофильные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вещества (спирт, стероидные гормоны и др.) проникают пропорционально их растворимости в жирах, но медленно. Всасывание лекарств через 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поврежденную кожу (мацерация, пролежни, трещины, ожоги, механические повреждения) резко усиливается.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Следует принимать в расчет, что в разных участках тела кожный барьер неодинаково прочен и меняется с возрастом. У детей, особенно раннего возраста, кожа более тонкая и нежная,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липидорастворимые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вещества всасываются через нее гораздо легче и могут вызвать нежелательные общие реакции. Активное втирание способствует проникновению лекарства в глубокие слои кожи и его всасыванию.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Мази, наложенные на очаг острого воспаления, препятствуют оттоку экссудата, потоотделению, повышают местную температуру, расширяют сосуды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дермального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слоя кожи и обостряют воспаление подобно своеобразному компрессу. Поэтому жирные мази не применяются при остром воспалении и мокнущих процессах. Они показаны при хроническом воспалении, где оказывают рассасывающее действие.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Препараты, растворимые в воде, и суспензии (болтушки) практически не всасываются через неповрежденную кожу и оседают на ней после испарения жидкости, оказывая охлаждающий эффект. Именно такие формы предпочтительны при острых воспалительных процессах.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В настоящее время созданы специальные лекарственные формы — пластыри с нанесенными на них лекарственными средствами, так называемые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трансдермальные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транспортные системы (например, с нитроглицерином).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Преимущества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numPr>
          <w:ilvl w:val="0"/>
          <w:numId w:val="25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отсутствие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пресистемной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элиминации;</w:t>
      </w:r>
    </w:p>
    <w:p w:rsidR="00B9614D" w:rsidRPr="00B9614D" w:rsidRDefault="00B9614D" w:rsidP="00B9614D">
      <w:pPr>
        <w:numPr>
          <w:ilvl w:val="0"/>
          <w:numId w:val="26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пролонгированный эффект.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Недостаток </w:t>
      </w:r>
      <w:proofErr w:type="gram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способа :</w:t>
      </w:r>
      <w:proofErr w:type="gram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возможность развития дерматита.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Ингаляционным путем вводят следующие лекарственные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формы :</w:t>
      </w:r>
      <w:proofErr w:type="gramEnd"/>
    </w:p>
    <w:p w:rsidR="00B9614D" w:rsidRPr="00B9614D" w:rsidRDefault="00B9614D" w:rsidP="00B9614D">
      <w:pPr>
        <w:numPr>
          <w:ilvl w:val="0"/>
          <w:numId w:val="27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аэрозоли (β-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адреномиметики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);</w:t>
      </w:r>
    </w:p>
    <w:p w:rsidR="00B9614D" w:rsidRPr="00B9614D" w:rsidRDefault="00B9614D" w:rsidP="00B9614D">
      <w:pPr>
        <w:numPr>
          <w:ilvl w:val="0"/>
          <w:numId w:val="28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газообразные вещества (летучие анестезирующие средства);</w:t>
      </w:r>
    </w:p>
    <w:p w:rsidR="00B9614D" w:rsidRPr="00B9614D" w:rsidRDefault="00B9614D" w:rsidP="00B9614D">
      <w:pPr>
        <w:numPr>
          <w:ilvl w:val="0"/>
          <w:numId w:val="29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мелкодисперсные порошки (натрия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кромогликат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).</w:t>
      </w:r>
    </w:p>
    <w:p w:rsidR="00B9614D" w:rsidRPr="00B9614D" w:rsidRDefault="00B9614D" w:rsidP="00B9614D">
      <w:pPr>
        <w:shd w:val="clear" w:color="auto" w:fill="FFFFFF"/>
        <w:spacing w:before="100" w:beforeAutospacing="1" w:after="10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Данный способ введения обеспечивает как местное (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адреномиметики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), так и системное (средства для наркоза) действие. Ингаляции лекарств производят с помощью специальной аппаратуры (от простейших спрей-баллончиков для самостоятельного применения больным до стационарных аппаратов). Учитывая тесный контакт вдыхаемого воздуха с кровью, а также огромную альвеолярную поверхность, скорость резорбции лекарств очень высока.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Ингаляторно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не применяют лекарственные средства, обладающие раздражающими </w:t>
      </w: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 xml:space="preserve">свойствами. Нужно помнить, что при ингаляциях вещества сразу поступают в левые отделы сердца через легочные вены, что создает условия для проявления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кардиотоксического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эффекта.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Преимущества </w:t>
      </w:r>
      <w:proofErr w:type="gramStart"/>
      <w:r w:rsidRPr="00B9614D">
        <w:rPr>
          <w:rFonts w:ascii="Trebuchet MS" w:eastAsia="Times New Roman" w:hAnsi="Trebuchet MS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numPr>
          <w:ilvl w:val="0"/>
          <w:numId w:val="30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быстрое развитие эффекта;</w:t>
      </w:r>
    </w:p>
    <w:p w:rsidR="00B9614D" w:rsidRPr="00B9614D" w:rsidRDefault="00B9614D" w:rsidP="00B9614D">
      <w:pPr>
        <w:numPr>
          <w:ilvl w:val="0"/>
          <w:numId w:val="31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возможность точного дозирования;</w:t>
      </w:r>
    </w:p>
    <w:p w:rsidR="00B9614D" w:rsidRPr="00B9614D" w:rsidRDefault="00B9614D" w:rsidP="00B9614D">
      <w:pPr>
        <w:numPr>
          <w:ilvl w:val="0"/>
          <w:numId w:val="32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отсутствие 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пресистемной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элиминации.</w:t>
      </w:r>
    </w:p>
    <w:p w:rsidR="00B9614D" w:rsidRPr="00B9614D" w:rsidRDefault="00B9614D" w:rsidP="00B9614D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 xml:space="preserve">Недостатки </w:t>
      </w:r>
      <w:proofErr w:type="gramStart"/>
      <w:r w:rsidRPr="00B9614D">
        <w:rPr>
          <w:rFonts w:ascii="Trebuchet MS" w:eastAsia="Times New Roman" w:hAnsi="Trebuchet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способа :</w:t>
      </w:r>
      <w:proofErr w:type="gramEnd"/>
    </w:p>
    <w:p w:rsidR="00B9614D" w:rsidRPr="00B9614D" w:rsidRDefault="00B9614D" w:rsidP="00B9614D">
      <w:pPr>
        <w:numPr>
          <w:ilvl w:val="0"/>
          <w:numId w:val="33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необходимость использования сложных технических устройств (наркозные аппараты);</w:t>
      </w:r>
    </w:p>
    <w:p w:rsidR="00B9614D" w:rsidRPr="00B9614D" w:rsidRDefault="00B9614D" w:rsidP="00B9614D">
      <w:pPr>
        <w:numPr>
          <w:ilvl w:val="0"/>
          <w:numId w:val="34"/>
        </w:numPr>
        <w:shd w:val="clear" w:color="auto" w:fill="FFFFFF"/>
        <w:spacing w:after="0" w:line="357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proofErr w:type="spellStart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пожароопасность</w:t>
      </w:r>
      <w:proofErr w:type="spellEnd"/>
      <w:r w:rsidRPr="00B9614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(кислород).</w:t>
      </w:r>
    </w:p>
    <w:p w:rsidR="002655AB" w:rsidRDefault="00B9614D">
      <w:bookmarkStart w:id="0" w:name="_GoBack"/>
      <w:bookmarkEnd w:id="0"/>
    </w:p>
    <w:sectPr w:rsidR="002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2D6"/>
    <w:multiLevelType w:val="multilevel"/>
    <w:tmpl w:val="854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7B55"/>
    <w:multiLevelType w:val="multilevel"/>
    <w:tmpl w:val="83AE2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6DD7FB2"/>
    <w:multiLevelType w:val="multilevel"/>
    <w:tmpl w:val="26B2D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544F4B"/>
    <w:multiLevelType w:val="multilevel"/>
    <w:tmpl w:val="7060A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1146CC"/>
    <w:multiLevelType w:val="multilevel"/>
    <w:tmpl w:val="84F40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03A2FFC"/>
    <w:multiLevelType w:val="multilevel"/>
    <w:tmpl w:val="1EE6D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987ED4"/>
    <w:multiLevelType w:val="multilevel"/>
    <w:tmpl w:val="C33C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60072"/>
    <w:multiLevelType w:val="multilevel"/>
    <w:tmpl w:val="6B96D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17D8F"/>
    <w:multiLevelType w:val="multilevel"/>
    <w:tmpl w:val="3EEA2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3E700B8"/>
    <w:multiLevelType w:val="multilevel"/>
    <w:tmpl w:val="879AA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7273156"/>
    <w:multiLevelType w:val="multilevel"/>
    <w:tmpl w:val="E02ED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8EE5DCA"/>
    <w:multiLevelType w:val="multilevel"/>
    <w:tmpl w:val="BDE4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93F22AF"/>
    <w:multiLevelType w:val="multilevel"/>
    <w:tmpl w:val="A7F0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9A422D6"/>
    <w:multiLevelType w:val="multilevel"/>
    <w:tmpl w:val="369ED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EC0FA4"/>
    <w:multiLevelType w:val="multilevel"/>
    <w:tmpl w:val="7AAEE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F31792"/>
    <w:multiLevelType w:val="multilevel"/>
    <w:tmpl w:val="05468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F97679E"/>
    <w:multiLevelType w:val="multilevel"/>
    <w:tmpl w:val="E0F0F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0490E8B"/>
    <w:multiLevelType w:val="multilevel"/>
    <w:tmpl w:val="344A7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B16074C"/>
    <w:multiLevelType w:val="multilevel"/>
    <w:tmpl w:val="5E6E1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14E058B"/>
    <w:multiLevelType w:val="multilevel"/>
    <w:tmpl w:val="C908B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448387D"/>
    <w:multiLevelType w:val="multilevel"/>
    <w:tmpl w:val="84C64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6DF1681"/>
    <w:multiLevelType w:val="multilevel"/>
    <w:tmpl w:val="22AA2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94C3AB3"/>
    <w:multiLevelType w:val="multilevel"/>
    <w:tmpl w:val="58B8D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42F5B65"/>
    <w:multiLevelType w:val="multilevel"/>
    <w:tmpl w:val="FD542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7A17F79"/>
    <w:multiLevelType w:val="multilevel"/>
    <w:tmpl w:val="10109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A32671A"/>
    <w:multiLevelType w:val="multilevel"/>
    <w:tmpl w:val="440E3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6725FBD"/>
    <w:multiLevelType w:val="multilevel"/>
    <w:tmpl w:val="40EC1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ABA29A8"/>
    <w:multiLevelType w:val="multilevel"/>
    <w:tmpl w:val="B68CB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C6B03AE"/>
    <w:multiLevelType w:val="multilevel"/>
    <w:tmpl w:val="91864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CC93309"/>
    <w:multiLevelType w:val="multilevel"/>
    <w:tmpl w:val="5F941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0F65DB0"/>
    <w:multiLevelType w:val="multilevel"/>
    <w:tmpl w:val="C1E05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ADC1C13"/>
    <w:multiLevelType w:val="multilevel"/>
    <w:tmpl w:val="8BCEF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B15248A"/>
    <w:multiLevelType w:val="multilevel"/>
    <w:tmpl w:val="DBBEC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DC13293"/>
    <w:multiLevelType w:val="multilevel"/>
    <w:tmpl w:val="CEEE2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5"/>
  </w:num>
  <w:num w:numId="5">
    <w:abstractNumId w:val="24"/>
  </w:num>
  <w:num w:numId="6">
    <w:abstractNumId w:val="19"/>
  </w:num>
  <w:num w:numId="7">
    <w:abstractNumId w:val="1"/>
  </w:num>
  <w:num w:numId="8">
    <w:abstractNumId w:val="16"/>
  </w:num>
  <w:num w:numId="9">
    <w:abstractNumId w:val="7"/>
  </w:num>
  <w:num w:numId="10">
    <w:abstractNumId w:val="13"/>
  </w:num>
  <w:num w:numId="11">
    <w:abstractNumId w:val="22"/>
  </w:num>
  <w:num w:numId="12">
    <w:abstractNumId w:val="17"/>
  </w:num>
  <w:num w:numId="13">
    <w:abstractNumId w:val="23"/>
  </w:num>
  <w:num w:numId="14">
    <w:abstractNumId w:val="11"/>
  </w:num>
  <w:num w:numId="15">
    <w:abstractNumId w:val="28"/>
  </w:num>
  <w:num w:numId="16">
    <w:abstractNumId w:val="27"/>
  </w:num>
  <w:num w:numId="17">
    <w:abstractNumId w:val="5"/>
  </w:num>
  <w:num w:numId="18">
    <w:abstractNumId w:val="4"/>
  </w:num>
  <w:num w:numId="19">
    <w:abstractNumId w:val="3"/>
  </w:num>
  <w:num w:numId="20">
    <w:abstractNumId w:val="31"/>
  </w:num>
  <w:num w:numId="21">
    <w:abstractNumId w:val="2"/>
  </w:num>
  <w:num w:numId="22">
    <w:abstractNumId w:val="8"/>
  </w:num>
  <w:num w:numId="23">
    <w:abstractNumId w:val="33"/>
  </w:num>
  <w:num w:numId="24">
    <w:abstractNumId w:val="30"/>
  </w:num>
  <w:num w:numId="25">
    <w:abstractNumId w:val="12"/>
  </w:num>
  <w:num w:numId="26">
    <w:abstractNumId w:val="10"/>
  </w:num>
  <w:num w:numId="27">
    <w:abstractNumId w:val="26"/>
  </w:num>
  <w:num w:numId="28">
    <w:abstractNumId w:val="32"/>
  </w:num>
  <w:num w:numId="29">
    <w:abstractNumId w:val="9"/>
  </w:num>
  <w:num w:numId="30">
    <w:abstractNumId w:val="20"/>
  </w:num>
  <w:num w:numId="31">
    <w:abstractNumId w:val="18"/>
  </w:num>
  <w:num w:numId="32">
    <w:abstractNumId w:val="25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4D"/>
    <w:rsid w:val="0052615F"/>
    <w:rsid w:val="009A13CB"/>
    <w:rsid w:val="00B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5F83-2CA1-4825-B2C6-17ADEED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al911.ru/author/medic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2015-01-30T16:19:00Z</dcterms:created>
  <dcterms:modified xsi:type="dcterms:W3CDTF">2015-01-30T16:19:00Z</dcterms:modified>
</cp:coreProperties>
</file>